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92" w:rsidRPr="00F46A92" w:rsidRDefault="00F46A92" w:rsidP="00F46A92">
      <w:pPr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F46A92">
        <w:rPr>
          <w:rFonts w:ascii="Arial" w:eastAsia="Times New Roman" w:hAnsi="Arial" w:cs="Arial"/>
          <w:sz w:val="27"/>
          <w:szCs w:val="27"/>
          <w:lang w:eastAsia="ru-RU"/>
        </w:rPr>
        <w:t>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области торговой деятельности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799"/>
        <w:gridCol w:w="3132"/>
        <w:gridCol w:w="2353"/>
        <w:gridCol w:w="3076"/>
      </w:tblGrid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 </w:t>
            </w: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 xml:space="preserve">№ </w:t>
            </w:r>
            <w:proofErr w:type="spellStart"/>
            <w:proofErr w:type="gramStart"/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п</w:t>
            </w:r>
            <w:proofErr w:type="spellEnd"/>
            <w:proofErr w:type="gramEnd"/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/</w:t>
            </w:r>
            <w:proofErr w:type="spellStart"/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п</w:t>
            </w:r>
            <w:proofErr w:type="spellEnd"/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документа).</w:t>
            </w:r>
          </w:p>
          <w:p w:rsidR="00F46A92" w:rsidRPr="00F46A92" w:rsidRDefault="00F46A92" w:rsidP="00F46A92">
            <w:pPr>
              <w:spacing w:after="277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 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актами.</w:t>
            </w:r>
          </w:p>
          <w:p w:rsidR="00F46A92" w:rsidRPr="00F46A92" w:rsidRDefault="00F46A92" w:rsidP="00F46A92">
            <w:pPr>
              <w:spacing w:after="277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 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  <w:p w:rsidR="00F46A92" w:rsidRPr="00F46A92" w:rsidRDefault="00F46A92" w:rsidP="00F46A92">
            <w:pPr>
              <w:spacing w:after="277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 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1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Кодекс Российской Федерации об административных правонарушениях от 30.12.2001 № 195-ФЗ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Часть 1 статьи 19.4, статья 19.4.1, часть 1 статьи 19.5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Юридические лица и индивидуальные предприниматели, осуществляющие торговую деятельность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2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В полном объеме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Юридические лица и индивидуальные предприниматели, осуществляющие торговую деятельность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3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Федеральный закон от 24.07.2007 №209-ФЗ «О развитии малого и среднего предпринимательства в Российской Федерации»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В полном объеме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Юридические лица и индивидуальные предприниматели, осуществляющие торговую деятельность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4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Федеральный закон от 28.12.2009 №381-ФЗ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Ст. 10,11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Юридические лица и индивидуальные предприниматели, осуществляющие торговую деятельность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5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 xml:space="preserve">Постановление Правительства Российской Федерации от 29.09.2010 № 772 «Об утверждении </w:t>
            </w: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lastRenderedPageBreak/>
              <w:t>Правил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объектов»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lastRenderedPageBreak/>
              <w:t> В полном объеме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 xml:space="preserve">Юридические лица и индивидуальные предприниматели, осуществляющие </w:t>
            </w: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lastRenderedPageBreak/>
              <w:t>торговую деятельность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lastRenderedPageBreak/>
              <w:t>6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Закон Воронежской области от 31.12.2003 №74-ОЗ «Об административных правонарушениях на территории Воронежской области»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Ст.19.2;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Юридические лица и индивидуальные предприниматели, осуществляющие торговую деятельность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CE3C16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>
              <w:rPr>
                <w:rFonts w:ascii="Arial" w:eastAsia="Times New Roman" w:hAnsi="Arial" w:cs="Arial"/>
                <w:color w:val="382E2C"/>
                <w:lang w:eastAsia="ru-RU"/>
              </w:rPr>
              <w:t>7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Default="00CE3C16" w:rsidP="00F46A92">
            <w:pPr>
              <w:rPr>
                <w:rFonts w:ascii="Arial" w:hAnsi="Arial" w:cs="Arial"/>
                <w:color w:val="382E2C"/>
              </w:rPr>
            </w:pPr>
            <w:r>
              <w:rPr>
                <w:rStyle w:val="a4"/>
                <w:rFonts w:ascii="Arial" w:hAnsi="Arial" w:cs="Arial"/>
                <w:b w:val="0"/>
                <w:color w:val="382E2C"/>
              </w:rPr>
              <w:t>З</w:t>
            </w:r>
            <w:r w:rsidRPr="00CE3C16">
              <w:rPr>
                <w:rStyle w:val="a4"/>
                <w:rFonts w:ascii="Arial" w:hAnsi="Arial" w:cs="Arial"/>
                <w:b w:val="0"/>
                <w:color w:val="382E2C"/>
              </w:rPr>
              <w:t xml:space="preserve">акон </w:t>
            </w:r>
            <w:r>
              <w:rPr>
                <w:rStyle w:val="a4"/>
                <w:rFonts w:ascii="Arial" w:hAnsi="Arial" w:cs="Arial"/>
                <w:b w:val="0"/>
                <w:color w:val="382E2C"/>
              </w:rPr>
              <w:t>В</w:t>
            </w:r>
            <w:r w:rsidRPr="00CE3C16">
              <w:rPr>
                <w:rStyle w:val="a4"/>
                <w:rFonts w:ascii="Arial" w:hAnsi="Arial" w:cs="Arial"/>
                <w:b w:val="0"/>
                <w:color w:val="382E2C"/>
              </w:rPr>
              <w:t xml:space="preserve">оронежской области от 12.03.2008 г. </w:t>
            </w:r>
            <w:proofErr w:type="spellStart"/>
            <w:r w:rsidRPr="00CE3C16">
              <w:rPr>
                <w:rStyle w:val="a4"/>
                <w:rFonts w:ascii="Arial" w:hAnsi="Arial" w:cs="Arial"/>
                <w:b w:val="0"/>
                <w:color w:val="382E2C"/>
              </w:rPr>
              <w:t>n</w:t>
            </w:r>
            <w:proofErr w:type="spellEnd"/>
            <w:r w:rsidRPr="00CE3C16">
              <w:rPr>
                <w:rStyle w:val="a4"/>
                <w:rFonts w:ascii="Arial" w:hAnsi="Arial" w:cs="Arial"/>
                <w:b w:val="0"/>
                <w:color w:val="382E2C"/>
              </w:rPr>
              <w:t xml:space="preserve"> 4-</w:t>
            </w:r>
            <w:r>
              <w:rPr>
                <w:rStyle w:val="a4"/>
                <w:rFonts w:ascii="Arial" w:hAnsi="Arial" w:cs="Arial"/>
                <w:b w:val="0"/>
                <w:color w:val="382E2C"/>
              </w:rPr>
              <w:t xml:space="preserve">ОЗ </w:t>
            </w:r>
            <w:r w:rsidR="00F46A92">
              <w:rPr>
                <w:rFonts w:ascii="Arial" w:hAnsi="Arial" w:cs="Arial"/>
                <w:color w:val="382E2C"/>
              </w:rPr>
              <w:t xml:space="preserve">«О развитии малого и среднего </w:t>
            </w:r>
            <w:r>
              <w:rPr>
                <w:rFonts w:ascii="Arial" w:hAnsi="Arial" w:cs="Arial"/>
                <w:color w:val="382E2C"/>
              </w:rPr>
              <w:t>п</w:t>
            </w:r>
            <w:r w:rsidR="00F46A92">
              <w:rPr>
                <w:rFonts w:ascii="Arial" w:hAnsi="Arial" w:cs="Arial"/>
                <w:color w:val="382E2C"/>
              </w:rPr>
              <w:t>редпринимательства в Воронежской области»</w:t>
            </w:r>
          </w:p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194976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В полном объеме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194976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Юридические лица и индивидуальные предприниматели, осуществляющие торговую деятельность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CE3C16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>
              <w:rPr>
                <w:rFonts w:ascii="Arial" w:eastAsia="Times New Roman" w:hAnsi="Arial" w:cs="Arial"/>
                <w:color w:val="382E2C"/>
                <w:lang w:eastAsia="ru-RU"/>
              </w:rPr>
              <w:t>8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CE3C16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>
              <w:rPr>
                <w:rFonts w:ascii="Arial" w:eastAsia="Times New Roman" w:hAnsi="Arial" w:cs="Arial"/>
                <w:color w:val="382E2C"/>
                <w:lang w:eastAsia="ru-RU"/>
              </w:rPr>
              <w:t>Постановление Александровского</w:t>
            </w: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 xml:space="preserve"> сельс</w:t>
            </w:r>
            <w:r w:rsidR="00CE3C16">
              <w:rPr>
                <w:rFonts w:ascii="Arial" w:eastAsia="Times New Roman" w:hAnsi="Arial" w:cs="Arial"/>
                <w:color w:val="382E2C"/>
                <w:lang w:eastAsia="ru-RU"/>
              </w:rPr>
              <w:t>кого поселения от 30.05.2018 № 29</w:t>
            </w: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  «Об утверждении административного регламента осуществления муниципального контроля в области торго</w:t>
            </w:r>
            <w:r>
              <w:rPr>
                <w:rFonts w:ascii="Arial" w:eastAsia="Times New Roman" w:hAnsi="Arial" w:cs="Arial"/>
                <w:color w:val="382E2C"/>
                <w:lang w:eastAsia="ru-RU"/>
              </w:rPr>
              <w:t>вой деятельности на территории Александровского</w:t>
            </w: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 xml:space="preserve"> сельского поселения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В полном объеме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Юридические лица и индивидуальные предприниматели, осуществляющие торговую деятельность</w:t>
            </w:r>
          </w:p>
        </w:tc>
      </w:tr>
      <w:tr w:rsidR="00F46A92" w:rsidRPr="00F46A92" w:rsidTr="00F46A92">
        <w:tc>
          <w:tcPr>
            <w:tcW w:w="7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CE3C16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>
              <w:rPr>
                <w:rFonts w:ascii="Arial" w:eastAsia="Times New Roman" w:hAnsi="Arial" w:cs="Arial"/>
                <w:color w:val="382E2C"/>
                <w:lang w:eastAsia="ru-RU"/>
              </w:rPr>
              <w:t>9</w:t>
            </w:r>
          </w:p>
        </w:tc>
        <w:tc>
          <w:tcPr>
            <w:tcW w:w="3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 xml:space="preserve">Устав </w:t>
            </w:r>
            <w:r>
              <w:rPr>
                <w:rFonts w:ascii="Arial" w:eastAsia="Times New Roman" w:hAnsi="Arial" w:cs="Arial"/>
                <w:color w:val="382E2C"/>
                <w:lang w:eastAsia="ru-RU"/>
              </w:rPr>
              <w:t>Александровского</w:t>
            </w: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  сельского поселения Павловского муниципального района Воронежской области</w:t>
            </w: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В полном объеме</w:t>
            </w:r>
          </w:p>
        </w:tc>
        <w:tc>
          <w:tcPr>
            <w:tcW w:w="30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center"/>
            <w:hideMark/>
          </w:tcPr>
          <w:p w:rsidR="00F46A92" w:rsidRPr="00F46A92" w:rsidRDefault="00F46A92" w:rsidP="00F46A92">
            <w:pPr>
              <w:spacing w:after="0" w:line="240" w:lineRule="auto"/>
              <w:rPr>
                <w:rFonts w:ascii="Arial" w:eastAsia="Times New Roman" w:hAnsi="Arial" w:cs="Arial"/>
                <w:color w:val="382E2C"/>
                <w:lang w:eastAsia="ru-RU"/>
              </w:rPr>
            </w:pPr>
            <w:r w:rsidRPr="00F46A92">
              <w:rPr>
                <w:rFonts w:ascii="Arial" w:eastAsia="Times New Roman" w:hAnsi="Arial" w:cs="Arial"/>
                <w:color w:val="382E2C"/>
                <w:lang w:eastAsia="ru-RU"/>
              </w:rPr>
              <w:t>Юридические лица, индивидуальные предприниматели</w:t>
            </w:r>
          </w:p>
        </w:tc>
      </w:tr>
    </w:tbl>
    <w:p w:rsidR="00D14665" w:rsidRDefault="00D14665">
      <w:pPr>
        <w:rPr>
          <w:rFonts w:ascii="Arial" w:hAnsi="Arial" w:cs="Arial"/>
          <w:color w:val="382E2C"/>
        </w:rPr>
      </w:pPr>
    </w:p>
    <w:p w:rsidR="00D14665" w:rsidRDefault="00D14665"/>
    <w:sectPr w:rsidR="00D1466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4665"/>
    <w:rsid w:val="0031537F"/>
    <w:rsid w:val="004273F4"/>
    <w:rsid w:val="00716475"/>
    <w:rsid w:val="00782A95"/>
    <w:rsid w:val="00CD7A49"/>
    <w:rsid w:val="00CE3C16"/>
    <w:rsid w:val="00D14665"/>
    <w:rsid w:val="00F46A92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75"/>
  </w:style>
  <w:style w:type="paragraph" w:styleId="3">
    <w:name w:val="heading 3"/>
    <w:basedOn w:val="a"/>
    <w:link w:val="30"/>
    <w:uiPriority w:val="9"/>
    <w:qFormat/>
    <w:rsid w:val="00F46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66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6A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2020-11-05T08:09:00Z</dcterms:created>
  <dcterms:modified xsi:type="dcterms:W3CDTF">2020-11-05T08:58:00Z</dcterms:modified>
</cp:coreProperties>
</file>